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176"/>
        <w:gridCol w:w="2741"/>
        <w:gridCol w:w="833"/>
        <w:gridCol w:w="501"/>
        <w:gridCol w:w="679"/>
        <w:gridCol w:w="1833"/>
      </w:tblGrid>
      <w:tr w:rsidR="00096F54" w14:paraId="0E75D1B7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59E50AB0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为便于债权人及时收到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文书，保证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程序顺利进行，债权人应当如实提供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2C6B85EF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/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 w14:paraId="57EA0C12" w14:textId="518E5033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3．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 w14:paraId="48DDF797" w14:textId="4D7D45A8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华文仿宋" w:eastAsia="华文仿宋" w:hAnsi="华文仿宋" w:cs="华文仿宋"/>
                <w:color w:val="4C4948"/>
                <w:u w:val="none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</w:tr>
      <w:tr w:rsidR="00096F54" w14:paraId="31678F13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lastRenderedPageBreak/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>
      <w:headerReference w:type="even" r:id="rId8"/>
      <w:headerReference w:type="default" r:id="rId9"/>
      <w:headerReference w:type="first" r:id="rId10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1FC7" w14:textId="77777777" w:rsidR="00C33E3E" w:rsidRDefault="00C33E3E">
      <w:r>
        <w:separator/>
      </w:r>
    </w:p>
  </w:endnote>
  <w:endnote w:type="continuationSeparator" w:id="0">
    <w:p w14:paraId="75E744AB" w14:textId="77777777" w:rsidR="00C33E3E" w:rsidRDefault="00C3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微软雅黑"/>
    <w:panose1 w:val="020B0604020202020204"/>
    <w:charset w:val="00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74D1" w14:textId="77777777" w:rsidR="00C33E3E" w:rsidRDefault="00C33E3E">
      <w:r>
        <w:separator/>
      </w:r>
    </w:p>
  </w:footnote>
  <w:footnote w:type="continuationSeparator" w:id="0">
    <w:p w14:paraId="243BE7E7" w14:textId="77777777" w:rsidR="00C33E3E" w:rsidRDefault="00C33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BB84" w14:textId="77777777" w:rsidR="00681D84" w:rsidRDefault="00681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E6C3" w14:textId="3385B8F5" w:rsidR="008161DF" w:rsidRDefault="00EC35C8" w:rsidP="008161DF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EC35C8">
      <w:rPr>
        <w:rFonts w:ascii="华文仿宋" w:eastAsia="华文仿宋" w:hAnsi="华文仿宋" w:cs="华文仿宋" w:hint="eastAsia"/>
        <w:lang w:eastAsia="zh-Hans"/>
      </w:rPr>
      <w:t>慈溪市三合包装制品有限公司</w:t>
    </w:r>
    <w:r w:rsidR="008161DF">
      <w:rPr>
        <w:rFonts w:ascii="华文仿宋" w:eastAsia="华文仿宋" w:hAnsi="华文仿宋" w:cs="华文仿宋" w:hint="eastAsia"/>
      </w:rPr>
      <w:t>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F376" w14:textId="77777777" w:rsidR="00681D84" w:rsidRDefault="0068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FD8DF3"/>
    <w:rsid w:val="75FD8DF3"/>
    <w:rsid w:val="B7B958CF"/>
    <w:rsid w:val="D6F3199A"/>
    <w:rsid w:val="D7FB7400"/>
    <w:rsid w:val="FAE465EC"/>
    <w:rsid w:val="00096F54"/>
    <w:rsid w:val="000C46D2"/>
    <w:rsid w:val="0014241C"/>
    <w:rsid w:val="00262092"/>
    <w:rsid w:val="002D7910"/>
    <w:rsid w:val="00526737"/>
    <w:rsid w:val="00681D84"/>
    <w:rsid w:val="008161DF"/>
    <w:rsid w:val="00894266"/>
    <w:rsid w:val="00923725"/>
    <w:rsid w:val="00AF5581"/>
    <w:rsid w:val="00C33E3E"/>
    <w:rsid w:val="00C50F4A"/>
    <w:rsid w:val="00D1675E"/>
    <w:rsid w:val="00E73F0D"/>
    <w:rsid w:val="00EC35C8"/>
    <w:rsid w:val="00ED6133"/>
    <w:rsid w:val="00EE79EC"/>
    <w:rsid w:val="00F4429B"/>
    <w:rsid w:val="3FD74B52"/>
    <w:rsid w:val="6E6BD829"/>
    <w:rsid w:val="75FD8DF3"/>
    <w:rsid w:val="7BAED72A"/>
    <w:rsid w:val="7EE5C7AD"/>
    <w:rsid w:val="7F613A4B"/>
    <w:rsid w:val="7FB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8161DF"/>
    <w:rPr>
      <w:rFonts w:ascii="DejaVu Sans" w:eastAsiaTheme="minorEastAsia" w:hAnsi="DejaVu Sans" w:cstheme="minorBidi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7</cp:revision>
  <dcterms:created xsi:type="dcterms:W3CDTF">2022-06-17T02:24:00Z</dcterms:created>
  <dcterms:modified xsi:type="dcterms:W3CDTF">2025-07-02T07:31:00Z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